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宋体"/>
          <w:szCs w:val="21"/>
        </w:rPr>
      </w:pPr>
    </w:p>
    <w:p>
      <w:pPr>
        <w:pStyle w:val="2"/>
        <w:spacing w:line="360" w:lineRule="auto"/>
        <w:jc w:val="center"/>
        <w:rPr>
          <w:rFonts w:ascii="宋体"/>
          <w:szCs w:val="21"/>
        </w:rPr>
      </w:pPr>
    </w:p>
    <w:p>
      <w:pPr>
        <w:pStyle w:val="2"/>
        <w:spacing w:line="360" w:lineRule="auto"/>
        <w:jc w:val="center"/>
        <w:rPr>
          <w:rFonts w:ascii="宋体"/>
          <w:szCs w:val="21"/>
        </w:rPr>
      </w:pPr>
      <w:r>
        <w:rPr>
          <w:rFonts w:hint="eastAsia" w:ascii="宋体"/>
          <w:szCs w:val="21"/>
        </w:rPr>
        <w:t>汕头职业技术学院</w:t>
      </w:r>
    </w:p>
    <w:p>
      <w:pPr>
        <w:pStyle w:val="2"/>
        <w:spacing w:line="360" w:lineRule="auto"/>
        <w:jc w:val="center"/>
      </w:pPr>
      <w:r>
        <w:rPr>
          <w:rFonts w:hint="eastAsia"/>
        </w:rPr>
        <w:t>自然科学系</w:t>
      </w:r>
      <w:r>
        <w:rPr>
          <w:rFonts w:hint="eastAsia"/>
          <w:lang w:val="en-US" w:eastAsia="zh-CN"/>
        </w:rPr>
        <w:t>新增专业</w:t>
      </w:r>
      <w:r>
        <w:rPr>
          <w:rFonts w:hint="eastAsia"/>
        </w:rPr>
        <w:t>化妆品技术</w:t>
      </w:r>
      <w:r>
        <w:rPr>
          <w:rFonts w:hint="eastAsia"/>
          <w:lang w:val="en-US" w:eastAsia="zh-CN"/>
        </w:rPr>
        <w:t>专业</w:t>
      </w:r>
      <w:r>
        <w:rPr>
          <w:rFonts w:hint="eastAsia"/>
        </w:rPr>
        <w:t>实训室</w:t>
      </w:r>
      <w:r>
        <w:rPr>
          <w:rFonts w:hint="eastAsia"/>
          <w:lang w:val="en-US" w:eastAsia="zh-CN"/>
        </w:rPr>
        <w:t>建设</w:t>
      </w:r>
      <w:r>
        <w:rPr>
          <w:rFonts w:hint="eastAsia"/>
        </w:rPr>
        <w:t>项目 需 求 书</w:t>
      </w: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</w:pPr>
    </w:p>
    <w:p>
      <w:pPr>
        <w:spacing w:line="300" w:lineRule="auto"/>
        <w:jc w:val="center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日星期</w:t>
      </w:r>
      <w:r>
        <w:rPr>
          <w:rFonts w:hint="eastAsia"/>
          <w:sz w:val="28"/>
          <w:szCs w:val="28"/>
          <w:lang w:val="en-US" w:eastAsia="zh-CN"/>
        </w:rPr>
        <w:t>二</w:t>
      </w: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rFonts w:hint="eastAsia"/>
          <w:sz w:val="28"/>
          <w:szCs w:val="28"/>
        </w:rPr>
      </w:pPr>
    </w:p>
    <w:p>
      <w:pPr>
        <w:spacing w:line="300" w:lineRule="auto"/>
        <w:jc w:val="center"/>
        <w:rPr>
          <w:rFonts w:hint="eastAsia"/>
          <w:sz w:val="28"/>
          <w:szCs w:val="28"/>
        </w:rPr>
      </w:pP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sz w:val="28"/>
          <w:szCs w:val="28"/>
        </w:rPr>
      </w:pPr>
    </w:p>
    <w:p>
      <w:pPr>
        <w:spacing w:line="30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汕头职业技术学院校自然科学系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信新专业</w:t>
      </w:r>
      <w:r>
        <w:rPr>
          <w:rFonts w:hint="eastAsia" w:ascii="宋体" w:hAnsi="宋体"/>
          <w:b/>
          <w:bCs/>
          <w:sz w:val="36"/>
          <w:szCs w:val="36"/>
        </w:rPr>
        <w:t>化妆品技术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实验实训</w:t>
      </w:r>
      <w:r>
        <w:rPr>
          <w:rFonts w:hint="eastAsia" w:ascii="宋体" w:hAnsi="宋体"/>
          <w:b/>
          <w:bCs/>
          <w:sz w:val="36"/>
          <w:szCs w:val="36"/>
        </w:rPr>
        <w:t>室设备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购买</w:t>
      </w:r>
      <w:r>
        <w:rPr>
          <w:rFonts w:hint="eastAsia" w:ascii="宋体" w:hAnsi="宋体"/>
          <w:b/>
          <w:bCs/>
          <w:sz w:val="36"/>
          <w:szCs w:val="36"/>
        </w:rPr>
        <w:t>项目询价需求表</w:t>
      </w:r>
    </w:p>
    <w:p>
      <w:pPr>
        <w:pStyle w:val="4"/>
        <w:spacing w:line="360" w:lineRule="auto"/>
        <w:ind w:firstLine="235" w:firstLineChars="100"/>
        <w:rPr>
          <w:rFonts w:hAnsi="宋体"/>
          <w:b/>
          <w:bCs/>
          <w:spacing w:val="-3"/>
          <w:sz w:val="24"/>
          <w:szCs w:val="24"/>
        </w:rPr>
      </w:pPr>
      <w:r>
        <w:rPr>
          <w:rFonts w:hint="eastAsia" w:hAnsi="宋体"/>
          <w:b/>
          <w:bCs/>
          <w:spacing w:val="-3"/>
          <w:sz w:val="24"/>
          <w:szCs w:val="24"/>
        </w:rPr>
        <w:t>一、项目名称</w:t>
      </w:r>
    </w:p>
    <w:p>
      <w:pPr>
        <w:pStyle w:val="4"/>
        <w:spacing w:line="360" w:lineRule="auto"/>
        <w:ind w:firstLine="240" w:firstLineChars="100"/>
        <w:rPr>
          <w:rFonts w:ascii="微软雅黑" w:hAnsi="微软雅黑" w:eastAsia="微软雅黑" w:cs="微软雅黑"/>
          <w:color w:val="292929"/>
          <w:kern w:val="0"/>
          <w:sz w:val="24"/>
          <w:u w:val="single" w:color="292929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</w:rPr>
        <w:t>自然科学系化妆品技术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  <w:lang w:val="en-US" w:eastAsia="zh-CN"/>
        </w:rPr>
        <w:t>新专业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</w:rPr>
        <w:t>化妆品技术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  <w:lang w:val="en-US" w:eastAsia="zh-CN"/>
        </w:rPr>
        <w:t>实验实训</w:t>
      </w:r>
      <w:r>
        <w:rPr>
          <w:rFonts w:hint="eastAsia" w:ascii="微软雅黑" w:hAnsi="微软雅黑" w:eastAsia="微软雅黑" w:cs="微软雅黑"/>
          <w:color w:val="292929"/>
          <w:kern w:val="0"/>
          <w:sz w:val="24"/>
          <w:u w:val="single" w:color="auto"/>
          <w:shd w:val="clear" w:color="auto" w:fill="FFFFFF"/>
        </w:rPr>
        <w:t>室设备设备项目</w:t>
      </w:r>
    </w:p>
    <w:p>
      <w:pPr>
        <w:numPr>
          <w:ilvl w:val="0"/>
          <w:numId w:val="1"/>
        </w:numPr>
        <w:spacing w:line="360" w:lineRule="auto"/>
        <w:ind w:firstLine="235" w:firstLineChars="100"/>
        <w:rPr>
          <w:rFonts w:hAnsi="宋体"/>
          <w:b/>
          <w:bCs/>
          <w:spacing w:val="-3"/>
          <w:sz w:val="24"/>
          <w:szCs w:val="24"/>
        </w:rPr>
      </w:pPr>
      <w:r>
        <w:rPr>
          <w:rFonts w:hint="eastAsia" w:hAnsi="宋体"/>
          <w:b/>
          <w:bCs/>
          <w:spacing w:val="-3"/>
          <w:sz w:val="24"/>
          <w:szCs w:val="24"/>
        </w:rPr>
        <w:t>仪器参数以及数量</w:t>
      </w:r>
    </w:p>
    <w:tbl>
      <w:tblPr>
        <w:tblStyle w:val="8"/>
        <w:tblW w:w="852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5507"/>
        <w:gridCol w:w="720"/>
        <w:gridCol w:w="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物品名称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需求或主要技术参数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采购  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lang w:val="en-US" w:eastAsia="zh-CN"/>
              </w:rPr>
              <w:t xml:space="preserve">WFZ-26A 紫外可见分光光度计（天津市拓普仪器有限公司）1台       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原生动物酶（POD，SOD，CAT）活性测定。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波长范围：190~900nm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波长精度：≤±0.3nm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波长重复性：≤0.1nm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分辨能力：0.3nm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光谱带宽：0.15、0.3、0.5、1.0、2.0nm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杂散光：≤0.2%T（220nm  Nal溶液）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测试模式：透过率、吸光度、单光束（能量方式）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扫描速度：快、正常、慢、很慢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测光精度：透过率：±0.3%（0.0-100.0%T）；吸光度：±0.002A（0.0-0.5A），±0.004A（0.5-1.0A）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扫描方式：连续扫描，重叠扫描，时间扫描横、纵坐标扩展：任意外形尺寸：680×620×260mm   </w:t>
            </w:r>
          </w:p>
          <w:p>
            <w:pPr>
              <w:jc w:val="both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台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JY92-II超声波细胞粉碎机（宁波新芝生物科技股份有限公司）1台    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电压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220-240V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val="en-US"/>
              </w:rPr>
              <w:t>;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工作频率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20-25kHz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加工定制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破碎容量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0.5-500ml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lang w:val="en-US" w:eastAsia="zh-CN"/>
              </w:rPr>
              <w:t xml:space="preserve">台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低温冷冻离心机 SIGMR 3K15 1台                                 低温离心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转速范围:100 ~ 15,300 rpm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容量:4 x 200 ml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相对离心力：23,031 g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时间控制：9Hr,59 min/连续/短时运转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温控范围：-</w:t>
            </w: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sz w:val="20"/>
              </w:rPr>
              <w:t>0℃～ 40℃</w:t>
            </w:r>
            <w:r>
              <w:rPr>
                <w:rFonts w:hint="eastAsia" w:ascii="宋体" w:hAnsi="宋体" w:cs="宋体"/>
                <w:color w:val="000000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20"/>
                <w:lang w:val="en-US" w:eastAsia="zh-CN"/>
              </w:rPr>
              <w:t>如果</w:t>
            </w:r>
            <w:r>
              <w:rPr>
                <w:rFonts w:ascii="宋体" w:hAnsi="宋体" w:cs="宋体"/>
                <w:color w:val="FF0000"/>
                <w:sz w:val="20"/>
              </w:rPr>
              <w:t>-</w:t>
            </w:r>
            <w:r>
              <w:rPr>
                <w:rFonts w:hint="eastAsia" w:ascii="宋体" w:hAnsi="宋体" w:cs="宋体"/>
                <w:color w:val="FF0000"/>
                <w:sz w:val="20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FF0000"/>
                <w:sz w:val="20"/>
              </w:rPr>
              <w:t>0℃～ 40℃</w:t>
            </w:r>
            <w:r>
              <w:rPr>
                <w:rFonts w:hint="eastAsia" w:ascii="宋体" w:hAnsi="宋体" w:cs="宋体"/>
                <w:color w:val="FF0000"/>
                <w:sz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FF0000"/>
                <w:sz w:val="20"/>
                <w:lang w:val="en-US" w:eastAsia="zh-CN"/>
              </w:rPr>
              <w:t>也可以</w:t>
            </w:r>
            <w:r>
              <w:rPr>
                <w:rFonts w:hint="eastAsia" w:ascii="宋体" w:hAnsi="宋体" w:cs="宋体"/>
                <w:color w:val="000000"/>
                <w:sz w:val="20"/>
                <w:lang w:eastAsia="zh-CN"/>
              </w:rPr>
              <w:t>）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程序：10个程序存储，20种加速及减速曲线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日本奥林巴斯CX43三目生物显微镜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光学系统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UIS2万能无限远校正光学系统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照明系统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·内置传输照明系统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·柯勒照明（固定光圈）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·2.4W LED（标称值），预对中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聚焦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·载物台垂直移动（粗动行程：15mm）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·用于粗调旋钮的每旋转行程：36.8mm，聚焦挡块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·用于粗调旋钮的扭矩调节(来源：成贯仪器)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·精细调焦旋钮（Z小调节等级：2.5μm）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物镜转换器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固定四孔物镜转盘，向内倾斜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载物台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·线性机械固定载物台，（W×D）：211mm×154mm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·行程（X×Y）：76mm×52mm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·单个样品架（可选：双试样架，板架）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·标本位置刻度(来源：成贯仪器)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·XY载物台移动止动器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观察筒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类型(抗真菌)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双目观察筒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三目观察筒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双目倾斜观察筒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目镜(抗真菌)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10X 视场数(FN):20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10X 视场数(FN):20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10X 视场数(FN):18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倾斜角度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30°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30°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30°-60°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光路选择器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无（目镜/摄像头端口= 50/50固定）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瞳距调整范围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48?75 mm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聚光镜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阿贝聚光镜NA</w:t>
            </w: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</w:rPr>
              <w:t>1.25，油浸式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具有7个转塔位置的万能聚光镜：BF（4-100X），2X，DF，Ph1，Ph2，Ph3，FL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聚光镜转盘锁定销（仅明场）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内置光圈调节（来源：成贯仪器）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AS锁定针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观察方法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明场，简易偏光，相差，暗场</w:t>
            </w:r>
            <w:r>
              <w:rPr>
                <w:rFonts w:hint="eastAsia" w:ascii="宋体" w:hAnsi="宋体" w:cs="宋体"/>
                <w:color w:val="000000"/>
                <w:sz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荧光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物镜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平场消色差物镜(UIS2),抗真菌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2X NA0.06 W.D.5.8 mm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4X NA0.1 W.D.18.5mm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10X NA0.25 W.D.10.6 mm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20X NA0.4 W.D.1.2mm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40X NA0.65 W.D.0.6mm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60X NA0.8 W.D.0.2mm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100XO NA1.25 W.D.0.13mm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100XOI NA1.25-0.6 W.D.0.13mm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10XPH NA0.25 W.D10.6 mm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20XPH NA0.4 W.D.1.2mm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40XPH NA0.65 W.D.0.6mm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100XOPH NA1.25 W.D.0.15mm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荧光光源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default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易于添加LED反射荧光照明器（激发峰值470 nm：仅支持B激发），预对中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额定电压/电流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AC 100?240V 50/60Hz 0.4A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外形尺寸</w:t>
            </w:r>
          </w:p>
          <w:p>
            <w:pPr>
              <w:pStyle w:val="12"/>
              <w:numPr>
                <w:ilvl w:val="0"/>
                <w:numId w:val="2"/>
              </w:numPr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211（W）×376（D）×393（H）mm（标准配置）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皮肤油脂测量仪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Sebumeter SM81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5）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 xml:space="preserve">1 测试方法：SEBUMETER®法----光度测定法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 xml:space="preserve">2 测试面积：64mm²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 xml:space="preserve">3 测试探头压力：3N/64mm²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 xml:space="preserve">4 测试时间：30秒,最大值60S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5 精度：5%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6 数值范围：0-350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7 数值单位：µg sebum / cm²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8 每盒胶带的测试次数：450次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皮肤酸度计（美国CLEANLEAU）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规格参数：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PH量程：-2.00---+16.00 PH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分辨率：0.01PH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精度：±0.01  pH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温度测量范围：0- 100.0 °C /32-212°F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使用温度范围:0- 60.0 °C /32-140°F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温度分辨率:0.1°C/1°F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校正:自动识别 3 点标准液校正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pH 标准液:USA: 4.01,7.00,10.01     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NIST: 4.01,6.86,9.18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pH 电极:CS1930 可更换高阻抗平面电极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屏幕:20 * 30 mm 多行液晶显示屏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温度补偿:ATC 自动 / MTC 手动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保护等级:IP67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电源:1x1.5V AAA电池，＞500 小时使用寿命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  <w:t>尺寸：(H×W×D) 185×40×48 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t>TC-96/G/H(b)C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PCR仪（杭州博日科技有限公司）1台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1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样品容量：9</w:t>
            </w:r>
            <w:r>
              <w:t>6</w:t>
            </w:r>
            <w:r>
              <w:rPr>
                <w:rFonts w:hint="eastAsia"/>
              </w:rPr>
              <w:t>孔*</w:t>
            </w:r>
            <w:r>
              <w:t>0.2</w:t>
            </w:r>
            <w:r>
              <w:rPr>
                <w:rFonts w:hint="eastAsia"/>
              </w:rPr>
              <w:t>ml</w:t>
            </w:r>
          </w:p>
          <w:p>
            <w:pPr>
              <w:pStyle w:val="1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技术方案：半导体技术</w:t>
            </w:r>
          </w:p>
          <w:p>
            <w:pPr>
              <w:pStyle w:val="1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液晶显示：彩色触屏</w:t>
            </w:r>
          </w:p>
          <w:p>
            <w:pPr>
              <w:pStyle w:val="1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控温范围：4℃</w:t>
            </w:r>
            <w:r>
              <w:t>~105</w:t>
            </w:r>
            <w:r>
              <w:rPr>
                <w:rFonts w:hint="eastAsia"/>
              </w:rPr>
              <w:t>℃</w:t>
            </w:r>
          </w:p>
          <w:p>
            <w:pPr>
              <w:pStyle w:val="1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最大升温速度：≥</w:t>
            </w:r>
            <w:r>
              <w:t>4</w:t>
            </w:r>
            <w:r>
              <w:rPr>
                <w:rFonts w:hint="eastAsia"/>
              </w:rPr>
              <w:t>℃</w:t>
            </w:r>
            <w:r>
              <w:t>/</w:t>
            </w:r>
            <w:r>
              <w:rPr>
                <w:rFonts w:hint="eastAsia"/>
              </w:rPr>
              <w:t>秒</w:t>
            </w:r>
          </w:p>
          <w:p>
            <w:pPr>
              <w:pStyle w:val="1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最大降温速度：≥</w:t>
            </w:r>
            <w:r>
              <w:t>4</w:t>
            </w:r>
            <w:r>
              <w:rPr>
                <w:rFonts w:hint="eastAsia"/>
              </w:rPr>
              <w:t>℃</w:t>
            </w:r>
            <w:r>
              <w:t>/</w:t>
            </w:r>
            <w:r>
              <w:rPr>
                <w:rFonts w:hint="eastAsia"/>
              </w:rPr>
              <w:t>秒</w:t>
            </w:r>
          </w:p>
          <w:p>
            <w:pPr>
              <w:pStyle w:val="1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温度均一性：≤±0</w:t>
            </w:r>
            <w:r>
              <w:t>.3</w:t>
            </w:r>
            <w:r>
              <w:rPr>
                <w:rFonts w:hint="eastAsia"/>
              </w:rPr>
              <w:t>℃</w:t>
            </w:r>
          </w:p>
          <w:p>
            <w:pPr>
              <w:pStyle w:val="1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温控精度：≤±0</w:t>
            </w:r>
            <w:r>
              <w:t>.1</w:t>
            </w:r>
            <w:r>
              <w:rPr>
                <w:rFonts w:hint="eastAsia"/>
              </w:rPr>
              <w:t>℃（5</w:t>
            </w:r>
            <w:r>
              <w:t>5</w:t>
            </w:r>
            <w:r>
              <w:rPr>
                <w:rFonts w:hint="eastAsia"/>
              </w:rPr>
              <w:t>℃）</w:t>
            </w:r>
          </w:p>
          <w:p>
            <w:pPr>
              <w:pStyle w:val="12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温度显示分辨率：0</w:t>
            </w:r>
            <w:r>
              <w:t>.1</w:t>
            </w:r>
            <w:r>
              <w:rPr>
                <w:rFonts w:hint="eastAsia"/>
              </w:rPr>
              <w:t>℃</w:t>
            </w:r>
          </w:p>
          <w:p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、程序存储数：2</w:t>
            </w:r>
            <w:r>
              <w:t>50</w:t>
            </w:r>
            <w:r>
              <w:rPr>
                <w:rFonts w:hint="eastAsia"/>
              </w:rPr>
              <w:t>个文件</w:t>
            </w:r>
          </w:p>
          <w:p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、自动暂停/断电保护：有</w:t>
            </w:r>
          </w:p>
          <w:p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、梯度温差范围：</w:t>
            </w:r>
            <w:r>
              <w:t>1</w:t>
            </w:r>
            <w:r>
              <w:rPr>
                <w:rFonts w:hint="eastAsia"/>
              </w:rPr>
              <w:t>℃~</w:t>
            </w:r>
            <w:r>
              <w:t>30</w:t>
            </w:r>
            <w:r>
              <w:rPr>
                <w:rFonts w:hint="eastAsia"/>
              </w:rPr>
              <w:t>℃</w:t>
            </w:r>
          </w:p>
          <w:p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、热盖温度：3</w:t>
            </w:r>
            <w:r>
              <w:t>0</w:t>
            </w:r>
            <w:r>
              <w:rPr>
                <w:rFonts w:hint="eastAsia"/>
              </w:rPr>
              <w:t>℃</w:t>
            </w:r>
            <w:r>
              <w:t>~110</w:t>
            </w:r>
            <w:r>
              <w:rPr>
                <w:rFonts w:hint="eastAsia"/>
              </w:rPr>
              <w:t>℃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、电压范围：1</w:t>
            </w:r>
            <w:r>
              <w:t>00~240V</w:t>
            </w:r>
            <w:r>
              <w:rPr>
                <w:rFonts w:hint="eastAsia"/>
              </w:rPr>
              <w:t>，5</w:t>
            </w:r>
            <w:r>
              <w:t>0~60</w:t>
            </w:r>
            <w:r>
              <w:rPr>
                <w:rFonts w:hint="eastAsia"/>
              </w:rPr>
              <w:t>Hz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t>WIX-EP300+WIX-midiDNA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DNA电泳套装（上海勤翔科学仪器有限公司）1套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基础电源</w:t>
            </w:r>
          </w:p>
          <w:p>
            <w:r>
              <w:t>1.输出范围：电压:10-300V；电流:1-400mA；功率:1-75W</w:t>
            </w:r>
          </w:p>
          <w:p>
            <w:r>
              <w:t>2.分 辨 率：电压1V、电流1mA、功率1W</w:t>
            </w:r>
          </w:p>
          <w:p>
            <w:r>
              <w:t>3.显示方式：192×64LCD液晶显示屏</w:t>
            </w:r>
          </w:p>
          <w:p>
            <w:r>
              <w:t>4.定时范围：1min–99h59min，完全可调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水平电泳槽</w:t>
            </w:r>
          </w:p>
          <w:p>
            <w:r>
              <w:t>1.凝胶面积（W*L）：130×130mm，130×65mm，65×130mm，65×65mm</w:t>
            </w:r>
          </w:p>
          <w:p>
            <w:r>
              <w:t>2.梳子规格：0.75mm：7+7齿/14齿、9+9齿/19齿；1.0 mm：12+12齿/27齿；1.5mm：7+7齿/14齿、9+9齿/19齿；2.0mm：3+2齿/3+3齿</w:t>
            </w:r>
          </w:p>
          <w:p>
            <w:r>
              <w:t>3.梳子数量：双刃式9把</w:t>
            </w:r>
          </w:p>
          <w:p>
            <w:r>
              <w:t>4.缓冲液体积：最大可达1000ml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t>5.铂金电极：φ0.25mm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t xml:space="preserve">WIX-EP300+WIX-miniPRO2+WIX-miniBLOT </w:t>
            </w:r>
            <w:r>
              <w:rPr>
                <w:rFonts w:hint="eastAsia"/>
              </w:rPr>
              <w:t>蛋白电泳套装（上海勤翔科学仪器有限公司）1套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基础电源</w:t>
            </w:r>
          </w:p>
          <w:p>
            <w:r>
              <w:t>1.输出范围：电压:10-300V；电流:1-400mA；功率:1-75W</w:t>
            </w:r>
          </w:p>
          <w:p>
            <w:r>
              <w:t>2.分 辨 率：电压1V、电流1mA、功率1W</w:t>
            </w:r>
          </w:p>
          <w:p>
            <w:r>
              <w:t>3.显示方式：192×64LCD液晶显示屏</w:t>
            </w:r>
          </w:p>
          <w:p>
            <w:r>
              <w:t>4.定时范围：1min–99h59min，完全可调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小型垂直电源槽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1.凝胶数量：1-2块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2.凝胶厚度：1.0mm（标配）；0.75mm、1.5mm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3.预 制 胶：兼容PIERCE, BIO-RAD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4.玻璃板尺寸：100×83mm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5.凝胶尺寸：83×73mm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6.梳子规格：1.0mm厚, 10、15齿（标配）；0.75mm10、15齿；1.5mm10、15齿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7.铂金电极：φ0.25mm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转印装置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1.转印尺寸：110*90mm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2.转印数量：1-2块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3.铂金电极：φ0.25mm</w:t>
            </w:r>
          </w:p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4.外形尺寸：180×130×160mm（L ×W×H）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2"/>
                <w:lang w:val="en-US" w:eastAsia="zh-CN" w:bidi="ar-SA"/>
              </w:rPr>
            </w:pPr>
            <w:r>
              <w:rPr>
                <w:rFonts w:ascii="Arial" w:hAnsi="Arial" w:cs="Arial"/>
              </w:rPr>
              <w:t>5.</w:t>
            </w:r>
            <w:r>
              <w:rPr>
                <w:rFonts w:hint="eastAsia" w:ascii="Arial" w:hAnsi="Arial" w:cs="Arial"/>
              </w:rPr>
              <w:t>配置：</w:t>
            </w:r>
            <w:r>
              <w:rPr>
                <w:rFonts w:ascii="Arial" w:hAnsi="Arial" w:cs="Arial"/>
              </w:rPr>
              <w:t>铂金丝电极板</w:t>
            </w:r>
            <w:r>
              <w:rPr>
                <w:rFonts w:hint="eastAsia" w:ascii="Arial" w:hAnsi="Arial" w:cs="Arial"/>
              </w:rPr>
              <w:t>1个；</w:t>
            </w:r>
            <w:r>
              <w:rPr>
                <w:rFonts w:ascii="Arial" w:hAnsi="Arial" w:cs="Arial"/>
              </w:rPr>
              <w:t>凝胶支架转印夹+海绵衬垫</w:t>
            </w:r>
            <w:r>
              <w:rPr>
                <w:rFonts w:hint="eastAsia" w:ascii="Arial" w:hAnsi="Arial" w:cs="Arial"/>
              </w:rPr>
              <w:t>1个；</w:t>
            </w:r>
            <w:r>
              <w:rPr>
                <w:rFonts w:ascii="Arial" w:hAnsi="Arial" w:cs="Arial"/>
              </w:rPr>
              <w:t>冷冻模块2个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r>
              <w:t>XDS-1</w:t>
            </w:r>
            <w:r>
              <w:rPr>
                <w:rFonts w:hint="eastAsia"/>
              </w:rPr>
              <w:t>倒置生物显微镜（广州粤显光学仪器有限责任公司）1台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r>
              <w:t xml:space="preserve">1、目镜：大视野 WF10X(视场数Φ20mm) </w:t>
            </w:r>
          </w:p>
          <w:p>
            <w:r>
              <w:t>2、目镜筒：三目镜, 30˚倾斜</w:t>
            </w:r>
          </w:p>
          <w:p>
            <w:r>
              <w:t>3、物镜：PLL 10X0.25  工作距离：8.8 mm，盖玻片厚度：1.2mm；PLL 25X0.40  工作距离：4.8 mm，盖玻片厚度：1.2mm；PLL 40X0.60  工作距离：3.3 mm，盖玻片厚度：1.2mm</w:t>
            </w:r>
          </w:p>
          <w:p>
            <w:r>
              <w:t>4、调焦机构：粗微动同轴调焦,带锁紧和限位装置,微动格值:2μm.</w:t>
            </w:r>
          </w:p>
          <w:p>
            <w:r>
              <w:t>5、转换器：四孔</w:t>
            </w:r>
          </w:p>
          <w:p>
            <w:r>
              <w:t>6、载物台：双层机械移动载物台，移动范围：纵向30mm，横向75mm</w:t>
            </w:r>
          </w:p>
          <w:p>
            <w:r>
              <w:t>7、聚光系统：插板式相衬聚光镜工作距离30mm</w:t>
            </w:r>
          </w:p>
          <w:p>
            <w:r>
              <w:t>8、照明系统：6V20W卤素灯，亮度可调</w:t>
            </w:r>
          </w:p>
          <w:p>
            <w:pPr>
              <w:rPr>
                <w:rFonts w:ascii="Arial" w:hAnsi="Arial" w:cs="Arial"/>
              </w:rPr>
            </w:pPr>
            <w:r>
              <w:t>9、滤色片：磨砂玻璃，蓝、绿滤色片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sz w:val="21"/>
                <w:lang w:val="en-US" w:eastAsia="zh-CN" w:bidi="ar-SA"/>
              </w:rPr>
            </w:pPr>
            <w:bookmarkStart w:id="0" w:name="_GoBack"/>
            <w:bookmarkEnd w:id="0"/>
            <w:r>
              <w:t>CLM-050B-8-CN</w:t>
            </w:r>
            <w:r>
              <w:rPr>
                <w:rFonts w:hint="eastAsia"/>
              </w:rPr>
              <w:t>细胞培养箱（新加坡ESCO）1台</w:t>
            </w:r>
          </w:p>
        </w:tc>
        <w:tc>
          <w:tcPr>
            <w:tcW w:w="5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r>
              <w:t>1、气套直热式CO2培养箱，体积≥50L</w:t>
            </w:r>
          </w:p>
          <w:p>
            <w:r>
              <w:rPr>
                <w:rFonts w:hint="eastAsia"/>
              </w:rPr>
              <w:t>▲</w:t>
            </w:r>
            <w:r>
              <w:t>2、具有90℃高温湿热循环灭菌，且过滤器免拆卸，实现箱体内原位灭菌。。</w:t>
            </w:r>
          </w:p>
          <w:p>
            <w:r>
              <w:t>3、温度控制范围（℃）：环境温度+3~59.9℃，温度控制精度（℃）：&lt;±0.1℃。</w:t>
            </w:r>
          </w:p>
          <w:p>
            <w:r>
              <w:rPr>
                <w:rFonts w:hint="eastAsia"/>
              </w:rPr>
              <w:t>▲</w:t>
            </w:r>
            <w:r>
              <w:t>4、内腔设计为强制空气对流，8个加热单元，6面加热模式。</w:t>
            </w:r>
          </w:p>
          <w:p>
            <w:r>
              <w:t>5、CO2控制范围：0.1~19.9％，CO2控制精度：±0.1%</w:t>
            </w:r>
          </w:p>
          <w:p>
            <w:r>
              <w:rPr>
                <w:rFonts w:hint="eastAsia"/>
              </w:rPr>
              <w:t>▲</w:t>
            </w:r>
            <w:r>
              <w:t>6、二氧化碳检测系统采用单束双波红外式二氧化碳浓度传感器，并具有CO2浓度自校准功能，保证CO2浓度的高精确性。</w:t>
            </w:r>
          </w:p>
          <w:p>
            <w:r>
              <w:t>7、一体式不锈钢内胆，光滑内壁，大圆弧角设计，清洁无死角。标准搁板数量：4块。</w:t>
            </w:r>
          </w:p>
          <w:p>
            <w:r>
              <w:rPr>
                <w:rFonts w:hint="eastAsia"/>
              </w:rPr>
              <w:t>▲</w:t>
            </w:r>
            <w:r>
              <w:t>8、箱体涂层：箱体外部IsocideTM含银离子抗菌涂层，抑制细菌、微生物在柜体表面滋生。</w:t>
            </w:r>
          </w:p>
          <w:p>
            <w:r>
              <w:t>9、采用气流流经水盘表面设计，湿度可达到环境湿度～95%RH</w:t>
            </w:r>
          </w:p>
          <w:p>
            <w:r>
              <w:t>10、智能化数据和事件监测器记录培养箱使用过程中所有的运行参数，并可以在LCD显示屏上通过程序软件调取记录的数据，内置闪存保证运行数据的长期储存。</w:t>
            </w:r>
          </w:p>
          <w:p>
            <w:r>
              <w:t>11、标配有RS485数据输出接口。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lang w:val="en-US" w:eastAsia="zh-CN" w:bidi="ar-SA"/>
              </w:rPr>
            </w:pPr>
            <w:r>
              <w:t>12、微电脑控制系统，具有温度、CO2浓度、开门超时及CO2钢瓶耗竭，ULPA报警提示等参数的报警及设置。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spacing w:line="360" w:lineRule="auto"/>
        <w:ind w:firstLine="210" w:firstLineChars="100"/>
        <w:rPr>
          <w:rFonts w:hAnsi="宋体" w:cs="宋体"/>
        </w:rPr>
      </w:pPr>
    </w:p>
    <w:p>
      <w:pPr>
        <w:pStyle w:val="4"/>
        <w:spacing w:line="360" w:lineRule="auto"/>
        <w:ind w:firstLine="211" w:firstLineChars="100"/>
        <w:rPr>
          <w:rFonts w:hAnsi="宋体" w:cs="宋体"/>
          <w:b/>
          <w:kern w:val="0"/>
        </w:rPr>
      </w:pPr>
      <w:r>
        <w:rPr>
          <w:rFonts w:hint="eastAsia" w:hAnsi="宋体" w:cs="宋体"/>
          <w:b/>
          <w:kern w:val="0"/>
        </w:rPr>
        <w:t>三、交付周期及付款方式</w:t>
      </w:r>
    </w:p>
    <w:p>
      <w:pPr>
        <w:spacing w:line="360" w:lineRule="auto"/>
        <w:ind w:firstLine="525" w:firstLineChars="250"/>
        <w:rPr>
          <w:rFonts w:hAnsi="宋体" w:cs="宋体"/>
        </w:rPr>
      </w:pPr>
      <w:r>
        <w:rPr>
          <w:rFonts w:hint="eastAsia" w:hAnsi="宋体" w:cs="宋体"/>
        </w:rPr>
        <w:t>1、项目交付时间：采购合同签订之日起</w:t>
      </w:r>
      <w:r>
        <w:rPr>
          <w:rFonts w:hint="eastAsia" w:hAnsi="宋体" w:cs="宋体"/>
          <w:color w:val="FF0000"/>
        </w:rPr>
        <w:t>8</w:t>
      </w:r>
      <w:r>
        <w:rPr>
          <w:rFonts w:hint="eastAsia" w:hAnsi="宋体" w:cs="宋体"/>
        </w:rPr>
        <w:t>天。</w:t>
      </w:r>
    </w:p>
    <w:p>
      <w:pPr>
        <w:spacing w:line="360" w:lineRule="auto"/>
        <w:ind w:firstLine="525" w:firstLineChars="250"/>
        <w:rPr>
          <w:rFonts w:hint="eastAsia" w:hAnsi="宋体" w:cs="宋体"/>
        </w:rPr>
      </w:pPr>
      <w:r>
        <w:rPr>
          <w:rFonts w:hint="eastAsia" w:hAnsi="宋体" w:cs="宋体"/>
        </w:rPr>
        <w:t>2、付款方式：项目自合同签订之日起10个工作日内由采购人向中标供应商支付合同金额的60</w:t>
      </w:r>
      <w:r>
        <w:rPr>
          <w:rFonts w:hAnsi="宋体" w:cs="宋体"/>
        </w:rPr>
        <w:t>%</w:t>
      </w:r>
      <w:r>
        <w:rPr>
          <w:rFonts w:hint="eastAsia" w:hAnsi="宋体" w:cs="宋体"/>
        </w:rPr>
        <w:t>作为项目建设的启动资金，在项目验收合格后采购人向供应商支付合同金额的40</w:t>
      </w:r>
      <w:r>
        <w:rPr>
          <w:rFonts w:hAnsi="宋体" w:cs="宋体"/>
        </w:rPr>
        <w:t>%</w:t>
      </w:r>
      <w:r>
        <w:rPr>
          <w:rFonts w:hint="eastAsia" w:hAnsi="宋体" w:cs="宋体"/>
        </w:rPr>
        <w:t>。</w:t>
      </w:r>
    </w:p>
    <w:p>
      <w:pPr>
        <w:spacing w:line="360" w:lineRule="auto"/>
        <w:ind w:firstLine="525" w:firstLineChars="250"/>
        <w:rPr>
          <w:rFonts w:hint="eastAsia" w:hAnsi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9656D7"/>
    <w:multiLevelType w:val="multilevel"/>
    <w:tmpl w:val="329656D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A2239A9"/>
    <w:rsid w:val="0F4A20B5"/>
    <w:rsid w:val="26435BC9"/>
    <w:rsid w:val="39032444"/>
    <w:rsid w:val="3DE25844"/>
    <w:rsid w:val="4F3B1941"/>
    <w:rsid w:val="57FD5BD0"/>
    <w:rsid w:val="61C55630"/>
    <w:rsid w:val="64BE24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Cs w:val="24"/>
    </w:rPr>
  </w:style>
  <w:style w:type="paragraph" w:customStyle="1" w:styleId="14">
    <w:name w:val="1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lang w:val="zh-CN"/>
    </w:rPr>
  </w:style>
  <w:style w:type="paragraph" w:customStyle="1" w:styleId="15">
    <w:name w:val="表内容居中"/>
    <w:basedOn w:val="1"/>
    <w:qFormat/>
    <w:uiPriority w:val="0"/>
    <w:pPr>
      <w:spacing w:afterLines="25"/>
      <w:jc w:val="center"/>
      <w:textAlignment w:val="center"/>
    </w:pPr>
    <w:rPr>
      <w:rFonts w:ascii="仿宋_GB2312" w:hAnsi="Calibri" w:eastAsia="仿宋_GB2312"/>
      <w:szCs w:val="22"/>
    </w:rPr>
  </w:style>
  <w:style w:type="paragraph" w:customStyle="1" w:styleId="16">
    <w:name w:val="表内容缩进"/>
    <w:basedOn w:val="1"/>
    <w:qFormat/>
    <w:uiPriority w:val="0"/>
    <w:pPr>
      <w:spacing w:afterLines="25"/>
    </w:pPr>
    <w:rPr>
      <w:rFonts w:ascii="仿宋_GB2312" w:hAnsi="Calibri" w:eastAsia="仿宋_GB2312"/>
      <w:szCs w:val="22"/>
    </w:rPr>
  </w:style>
  <w:style w:type="paragraph" w:customStyle="1" w:styleId="17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页眉 Char"/>
    <w:basedOn w:val="10"/>
    <w:link w:val="6"/>
    <w:qFormat/>
    <w:uiPriority w:val="0"/>
    <w:rPr>
      <w:sz w:val="18"/>
      <w:szCs w:val="18"/>
    </w:rPr>
  </w:style>
  <w:style w:type="character" w:customStyle="1" w:styleId="19">
    <w:name w:val="页脚 Char"/>
    <w:basedOn w:val="10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657</Words>
  <Characters>871</Characters>
  <Paragraphs>157</Paragraphs>
  <TotalTime>26</TotalTime>
  <ScaleCrop>false</ScaleCrop>
  <LinksUpToDate>false</LinksUpToDate>
  <CharactersWithSpaces>957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2020-11-09T08:42:00Z</dcterms:created>
  <dc:creator>PC</dc:creator>
  <cp:lastModifiedBy>yuyu</cp:lastModifiedBy>
  <cp:lastPrinted>2021-11-15T04:37:00Z</cp:lastPrinted>
  <dcterms:modified xsi:type="dcterms:W3CDTF">2022-03-07T01:16:36Z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9d151d09d6cb41a5b1616b2f36e88833</vt:lpwstr>
  </property>
</Properties>
</file>